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E2544"/>
          <w:sz w:val="40"/>
          <w:szCs w:val="40"/>
        </w:rPr>
        <w:t xml:space="preserve">Clementis</w:t>
      </w:r>
    </w:p>
    <w:p>
      <w:pPr>
        <w:spacing w:after="300"/>
      </w:pPr>
      <w:r>
        <w:rPr>
          <w:rFonts w:ascii="Consolas" w:cs="Consolas" w:eastAsia="Consolas" w:hAnsi="Consolas"/>
          <w:color w:val="9C7A2C"/>
          <w:spacing w:val="60"/>
          <w:sz w:val="16"/>
          <w:szCs w:val="16"/>
        </w:rPr>
        <w:t xml:space="preserve">SCIENTIFIC CONSULTING</w:t>
      </w:r>
    </w:p>
    <w:p>
      <w:pPr>
        <w:pBdr>
          <w:top w:val="single" w:color="C6A15B" w:sz="12" w:space="8"/>
        </w:pBdr>
        <w:spacing w:after="40" w:before="120"/>
      </w:pPr>
      <w:r>
        <w:rPr>
          <w:rFonts w:ascii="Consolas" w:cs="Consolas" w:eastAsia="Consolas" w:hAnsi="Consolas"/>
          <w:color w:val="12707A"/>
          <w:spacing w:val="40"/>
          <w:sz w:val="18"/>
          <w:szCs w:val="18"/>
        </w:rPr>
        <w:t xml:space="preserve">ENGAGEMENT PROPOSAL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[Project / programme title]</w:t>
      </w:r>
    </w:p>
    <w:p>
      <w:pPr>
        <w:spacing w:after="400"/>
      </w:pPr>
      <w:r>
        <w:rPr>
          <w:rFonts w:ascii="Calibri" w:cs="Calibri" w:eastAsia="Calibri" w:hAnsi="Calibri"/>
          <w:color w:val="4A5B6B"/>
          <w:sz w:val="21"/>
          <w:szCs w:val="21"/>
        </w:rPr>
        <w:t xml:space="preserve">Prepared by Clementis Scientific Consulting, LLC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PREPARED FOR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C97A6"/>
                <w:sz w:val="21"/>
                <w:szCs w:val="21"/>
              </w:rPr>
              <w:t xml:space="preserve">[Client name / organization]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ATTENTION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C97A6"/>
                <w:sz w:val="21"/>
                <w:szCs w:val="21"/>
              </w:rPr>
              <w:t xml:space="preserve">[Primary contact, title]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PREPARED BY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14232F"/>
                <w:sz w:val="21"/>
                <w:szCs w:val="21"/>
              </w:rPr>
              <w:t xml:space="preserve">Dr. Velaphi Thipe, Founder &amp; Principal Consultant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DATE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C97A6"/>
                <w:sz w:val="21"/>
                <w:szCs w:val="21"/>
              </w:rPr>
              <w:t xml:space="preserve">[Date]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PROPOSAL REF.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C97A6"/>
                <w:sz w:val="21"/>
                <w:szCs w:val="21"/>
              </w:rPr>
              <w:t xml:space="preserve">[REF-000]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Consolas" w:cs="Consolas" w:eastAsia="Consolas" w:hAnsi="Consolas"/>
                <w:color w:val="7A8A98"/>
                <w:spacing w:val="20"/>
                <w:sz w:val="15"/>
                <w:szCs w:val="15"/>
              </w:rPr>
              <w:t xml:space="preserve">VALID UNTIL</w:t>
            </w:r>
          </w:p>
        </w:tc>
        <w:tc>
          <w:tcPr>
            <w:tcW w:type="dxa" w:w="6760"/>
            <w:tcBorders>
              <w:top w:val="none" w:color="FFFFFF" w:sz="0"/>
              <w:left w:val="none" w:color="FFFFFF" w:sz="0"/>
              <w:bottom w:val="single" w:color="DCE3EA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C97A6"/>
                <w:sz w:val="21"/>
                <w:szCs w:val="21"/>
              </w:rPr>
              <w:t xml:space="preserve">[Date — typically 30 days]</w:t>
            </w:r>
          </w:p>
        </w:tc>
      </w:tr>
    </w:tbl>
    <w:p>
      <w:pPr>
        <w:spacing w:before="200"/>
      </w:pPr>
      <w:r>
        <w:rPr>
          <w:rFonts w:ascii="Georgia" w:cs="Georgia" w:eastAsia="Georgia" w:hAnsi="Georgia"/>
          <w:i/>
          <w:iCs/>
          <w:color w:val="9C7A2C"/>
          <w:sz w:val="22"/>
          <w:szCs w:val="22"/>
        </w:rPr>
        <w:t xml:space="preserve">“Where Scientific Discovery Becomes Value”</w:t>
      </w:r>
    </w:p>
    <w:p>
      <w:r>
        <w:br w:type="page"/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1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Executive summary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[Two or three sentences summarizing the client's situation, the objective of this engagement, and the value Clementis will deliver. State the headline outcome the client can expect.]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This proposal sets out how Clementis will help </w:t>
      </w: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[Client]</w:t>
      </w:r>
      <w:r>
        <w:rPr>
          <w:rFonts w:ascii="Calibri" w:cs="Calibri" w:eastAsia="Calibri" w:hAnsi="Calibri"/>
          <w:color w:val="14232F"/>
          <w:sz w:val="21"/>
          <w:szCs w:val="21"/>
        </w:rPr>
        <w:t xml:space="preserve"> de-risk and advance </w:t>
      </w: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[programme / technology]</w:t>
      </w:r>
      <w:r>
        <w:rPr>
          <w:rFonts w:ascii="Calibri" w:cs="Calibri" w:eastAsia="Calibri" w:hAnsi="Calibri"/>
          <w:color w:val="14232F"/>
          <w:sz w:val="21"/>
          <w:szCs w:val="21"/>
        </w:rPr>
        <w:t xml:space="preserve"> toward </w:t>
      </w: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[regulatory approval / market entry / investment readiness]</w:t>
      </w:r>
      <w:r>
        <w:rPr>
          <w:rFonts w:ascii="Calibri" w:cs="Calibri" w:eastAsia="Calibri" w:hAnsi="Calibri"/>
          <w:color w:val="14232F"/>
          <w:sz w:val="21"/>
          <w:szCs w:val="21"/>
        </w:rPr>
        <w:t xml:space="preserve">, using a staged, evidence-first methodology with explicit go / no-go decision points.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2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Background &amp; objectives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Background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[Describe the client's technology, current stage, and the challenge or opportunity that prompted this engagement.]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Objectives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The objectives of this engagement are to: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[Objective 1 — e.g., establish an evidence and IP baseline]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[Objective 2 — e.g., define the regulatory pathway for the lead market]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[Objective 3 — e.g., produce a go / no-go recommendation with quantified risk]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3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Scope of work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The engagement will draw on the relevant Clementis service pillars. Select and tailor the workstreams below to the client's needs; remove those that do not apply.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Workstream A · Strategic planning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[Preclinical roadmap, SAR optimization, mechanistic positioning — describe the specific work.]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Workstream B · Market intelligence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[Market analysis, target product profile, competitive positioning — describe the specific work.]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Workstream C · Audit &amp; risk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[Translational program audit, risk register, go / no-go gates — describe the specific work.]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Workstream D · Clinical &amp; regulatory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[Clinical readiness framework, evidence planning across target regulators — describe the specific work.]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Workstream E · Network &amp; IP</w:t>
      </w:r>
    </w:p>
    <w:p>
      <w:pPr>
        <w:spacing w:after="140" w:line="276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[IP landscape, freedom-to-operate, partner and CRO identification — describe the specific work.]</w:t>
      </w:r>
    </w:p>
    <w:p>
      <w:pPr>
        <w:spacing w:after="140" w:before="60"/>
      </w:pPr>
      <w:r>
        <w:rPr>
          <w:rFonts w:ascii="Consolas" w:cs="Consolas" w:eastAsia="Consolas" w:hAnsi="Consolas"/>
          <w:i/>
          <w:iCs/>
          <w:color w:val="7A8A98"/>
          <w:sz w:val="15"/>
          <w:szCs w:val="15"/>
        </w:rPr>
        <w:t xml:space="preserve">Tip: keep only the workstreams that are in scope for this engagement.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4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Approach &amp; methodology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Clementis works through four stages, each closing with an explicit decision so that capital and time are committed only once the evidence justifies the next step.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5160"/>
        <w:gridCol w:w="2100"/>
      </w:tblGrid>
      <w:tr>
        <w:trPr>
          <w:tblHeader/>
        </w:trPr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Stage</w:t>
            </w:r>
          </w:p>
        </w:tc>
        <w:tc>
          <w:tcPr>
            <w:tcW w:type="dxa" w:w="51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Focus</w:t>
            </w:r>
          </w:p>
        </w:tc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Decision gate</w:t>
            </w:r>
          </w:p>
        </w:tc>
      </w:tr>
      <w:tr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01 · Discover</w:t>
            </w:r>
          </w:p>
        </w:tc>
        <w:tc>
          <w:tcPr>
            <w:tcW w:type="dxa" w:w="51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Map science, IP, and market; separate proven from assumed</w:t>
            </w:r>
          </w:p>
        </w:tc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Evidence baseline</w:t>
            </w:r>
          </w:p>
        </w:tc>
      </w:tr>
      <w:tr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02 · De-risk</w:t>
            </w:r>
          </w:p>
        </w:tc>
        <w:tc>
          <w:tcPr>
            <w:tcW w:type="dxa" w:w="51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Audit vs. readiness criteria; risk register; close gaps</w:t>
            </w:r>
          </w:p>
        </w:tc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Go / no-go</w:t>
            </w:r>
          </w:p>
        </w:tc>
      </w:tr>
      <w:tr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03 · Position</w:t>
            </w:r>
          </w:p>
        </w:tc>
        <w:tc>
          <w:tcPr>
            <w:tcW w:type="dxa" w:w="51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Target product profile, regulatory route, mechanistic story</w:t>
            </w:r>
          </w:p>
        </w:tc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Pathway locked</w:t>
            </w:r>
          </w:p>
        </w:tc>
      </w:tr>
      <w:tr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04 · Launch</w:t>
            </w:r>
          </w:p>
        </w:tc>
        <w:tc>
          <w:tcPr>
            <w:tcW w:type="dxa" w:w="51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Coordinate partners, CROs, and filings toward market</w:t>
            </w:r>
          </w:p>
        </w:tc>
        <w:tc>
          <w:tcPr>
            <w:tcW w:type="dxa" w:w="21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Market-ready</w:t>
            </w:r>
          </w:p>
        </w:tc>
      </w:tr>
    </w:tbl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5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Deliverables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Clementis will provide the following deliverables. Edit to match the agreed scope: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[Deliverable 1 — e.g., evidence &amp; IP baseline report]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[Deliverable 2 — e.g., translational program audit &amp; risk register]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[Deliverable 3 — e.g., regulatory &amp; clinical readiness plan]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[Deliverable 4 — e.g., go / no-go decision memo]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6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Timeline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Indicative schedule. A typical engagement runs across a 90-day arc; adjust milestones and dates to the agreed scope.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400"/>
        <w:gridCol w:w="3600"/>
      </w:tblGrid>
      <w:tr>
        <w:trPr>
          <w:tblHeader/>
        </w:trPr>
        <w:tc>
          <w:tcPr>
            <w:tcW w:type="dxa" w:w="3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Phase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Timing</w:t>
            </w:r>
          </w:p>
        </w:tc>
        <w:tc>
          <w:tcPr>
            <w:tcW w:type="dxa" w:w="3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Milestone / gate</w:t>
            </w:r>
          </w:p>
        </w:tc>
      </w:tr>
      <w:tr>
        <w:tc>
          <w:tcPr>
            <w:tcW w:type="dxa" w:w="3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Discover &amp; baseline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[Days 1–30]</w:t>
            </w:r>
          </w:p>
        </w:tc>
        <w:tc>
          <w:tcPr>
            <w:tcW w:type="dxa" w:w="3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Evidence baseline agreed</w:t>
            </w:r>
          </w:p>
        </w:tc>
      </w:tr>
      <w:tr>
        <w:tc>
          <w:tcPr>
            <w:tcW w:type="dxa" w:w="3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De-risk &amp; prioritize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[Days 31–60]</w:t>
            </w:r>
          </w:p>
        </w:tc>
        <w:tc>
          <w:tcPr>
            <w:tcW w:type="dxa" w:w="3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Go / no-go recommendation</w:t>
            </w:r>
          </w:p>
        </w:tc>
      </w:tr>
      <w:tr>
        <w:tc>
          <w:tcPr>
            <w:tcW w:type="dxa" w:w="3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Position &amp; plan launch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[Days 61–90]</w:t>
            </w:r>
          </w:p>
        </w:tc>
        <w:tc>
          <w:tcPr>
            <w:tcW w:type="dxa" w:w="3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Pathway locked, plan handed off</w:t>
            </w:r>
          </w:p>
        </w:tc>
      </w:tr>
    </w:tbl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7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Investment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Fees for this engagement are set out below. Amounts are in USD and exclude applicable taxes and pre-approved expenses.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400"/>
        <w:gridCol w:w="2600"/>
      </w:tblGrid>
      <w:tr>
        <w:trPr>
          <w:tblHeader/>
        </w:trPr>
        <w:tc>
          <w:tcPr>
            <w:tcW w:type="dxa" w:w="4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Item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Basis</w:t>
            </w:r>
          </w:p>
        </w:tc>
        <w:tc>
          <w:tcPr>
            <w:tcW w:type="dxa" w:w="2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0E254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onsolas" w:cs="Consolas" w:eastAsia="Consolas" w:hAnsi="Consolas"/>
                <w:color w:val="FFFFFF"/>
                <w:spacing w:val="14"/>
                <w:sz w:val="15"/>
                <w:szCs w:val="15"/>
              </w:rPr>
              <w:t xml:space="preserve">Fee (USD)</w:t>
            </w:r>
          </w:p>
        </w:tc>
      </w:tr>
      <w:tr>
        <w:tc>
          <w:tcPr>
            <w:tcW w:type="dxa" w:w="4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[Workstream / phase]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[Fixed / retainer / day]</w:t>
            </w:r>
          </w:p>
        </w:tc>
        <w:tc>
          <w:tcPr>
            <w:tcW w:type="dxa" w:w="2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[$00,000]</w:t>
            </w:r>
          </w:p>
        </w:tc>
      </w:tr>
      <w:tr>
        <w:tc>
          <w:tcPr>
            <w:tcW w:type="dxa" w:w="4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[Workstream / phase]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[Fixed / retainer / day]</w:t>
            </w:r>
          </w:p>
        </w:tc>
        <w:tc>
          <w:tcPr>
            <w:tcW w:type="dxa" w:w="2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[$00,000]</w:t>
            </w:r>
          </w:p>
        </w:tc>
      </w:tr>
      <w:tr>
        <w:tc>
          <w:tcPr>
            <w:tcW w:type="dxa" w:w="4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[Optional add-on]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[Fixed]</w:t>
            </w:r>
          </w:p>
        </w:tc>
        <w:tc>
          <w:tcPr>
            <w:tcW w:type="dxa" w:w="2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[$00,000]</w:t>
            </w:r>
          </w:p>
        </w:tc>
      </w:tr>
      <w:tr>
        <w:tc>
          <w:tcPr>
            <w:tcW w:type="dxa" w:w="436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E2544"/>
                <w:sz w:val="20"/>
                <w:szCs w:val="20"/>
              </w:rPr>
              <w:t xml:space="preserve">Total</w:t>
            </w:r>
          </w:p>
        </w:tc>
        <w:tc>
          <w:tcPr>
            <w:tcW w:type="dxa" w:w="24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DCE3EA" w:sz="2"/>
              <w:left w:val="single" w:color="DCE3EA" w:sz="2"/>
              <w:bottom w:val="single" w:color="DCE3EA" w:sz="2"/>
              <w:right w:val="single" w:color="DCE3EA" w:sz="2"/>
            </w:tcBorders>
            <w:shd w:fill="EDF1F5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2707A"/>
                <w:sz w:val="18"/>
                <w:szCs w:val="18"/>
              </w:rPr>
              <w:t xml:space="preserve">[$00,000]</w:t>
            </w:r>
          </w:p>
        </w:tc>
      </w:tr>
    </w:tbl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Payment schedule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[e.g., 40% on signature, 30% at Gate 1, 30% on final delivery]</w:t>
      </w:r>
    </w:p>
    <w:p>
      <w:pPr>
        <w:pStyle w:val="Heading3"/>
        <w:spacing w:after="40" w:before="140"/>
      </w:pPr>
      <w:r>
        <w:rPr>
          <w:rFonts w:ascii="Calibri" w:cs="Calibri" w:eastAsia="Calibri" w:hAnsi="Calibri"/>
          <w:b/>
          <w:bCs/>
          <w:color w:val="0E2544"/>
          <w:sz w:val="21"/>
          <w:szCs w:val="21"/>
        </w:rPr>
        <w:t xml:space="preserve">Value-based option</w:t>
      </w:r>
    </w:p>
    <w:p>
      <w:pPr>
        <w:spacing w:after="140" w:line="276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Where the engagement targets a high-value outcome, Clementis can price against value created — typically </w:t>
      </w:r>
      <w:r>
        <w:rPr>
          <w:rFonts w:ascii="Calibri" w:cs="Calibri" w:eastAsia="Calibri" w:hAnsi="Calibri"/>
          <w:b/>
          <w:bCs/>
          <w:color w:val="14232F"/>
          <w:sz w:val="21"/>
          <w:szCs w:val="21"/>
        </w:rPr>
        <w:t xml:space="preserve">10–15% of the quantified gain</w:t>
      </w:r>
      <w:r>
        <w:rPr>
          <w:rFonts w:ascii="Calibri" w:cs="Calibri" w:eastAsia="Calibri" w:hAnsi="Calibri"/>
          <w:color w:val="14232F"/>
          <w:sz w:val="21"/>
          <w:szCs w:val="21"/>
        </w:rPr>
        <w:t xml:space="preserve">, agreed up front with a defined method for quantifying that value.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8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Terms &amp; assumptions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Confidentiality: both parties will treat shared information as confidential; a mutual NDA can be executed on request.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Intellectual property: work product is transferred to the client on full payment; Clementis retains its pre-existing methods and frameworks.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[Client responsibilities — e.g., timely access to data, a named point of contact, and prompt decisions at gates]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[Assumptions — e.g., availability of existing data; scope limited to the markets named above]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i/>
          <w:iCs/>
          <w:color w:val="1C97A6"/>
          <w:sz w:val="21"/>
          <w:szCs w:val="21"/>
        </w:rPr>
        <w:t xml:space="preserve">[Change control — how out-of-scope requests are handled and priced]</w:t>
      </w:r>
    </w:p>
    <w:p>
      <w:pPr>
        <w:spacing w:after="140" w:before="60"/>
      </w:pPr>
      <w:r>
        <w:rPr>
          <w:rFonts w:ascii="Consolas" w:cs="Consolas" w:eastAsia="Consolas" w:hAnsi="Consolas"/>
          <w:i/>
          <w:iCs/>
          <w:color w:val="7A8A98"/>
          <w:sz w:val="15"/>
          <w:szCs w:val="15"/>
        </w:rPr>
        <w:t xml:space="preserve">This proposal is not a contract; a separate services agreement will govern the engagement.</w:t>
      </w:r>
    </w:p>
    <w:p>
      <w:pPr>
        <w:spacing w:after="60" w:before="60"/>
      </w:pPr>
      <w:r>
        <w:rPr>
          <w:rFonts w:ascii="Consolas" w:cs="Consolas" w:eastAsia="Consolas" w:hAnsi="Consolas"/>
          <w:color w:val="12707A"/>
          <w:spacing w:val="30"/>
          <w:sz w:val="16"/>
          <w:szCs w:val="16"/>
        </w:rPr>
        <w:t xml:space="preserve">SECTION 9</w:t>
      </w:r>
    </w:p>
    <w:p>
      <w:pPr>
        <w:pStyle w:val="Heading1"/>
        <w:pBdr>
          <w:bottom w:val="single" w:color="C6A15B" w:sz="10" w:space="6"/>
        </w:pBdr>
        <w:spacing w:after="120" w:before="320"/>
      </w:pPr>
      <w:r>
        <w:rPr>
          <w:rFonts w:ascii="Georgia" w:cs="Georgia" w:eastAsia="Georgia" w:hAnsi="Georgia"/>
          <w:b w:val="false"/>
          <w:bCs w:val="false"/>
          <w:color w:val="0E2544"/>
          <w:sz w:val="30"/>
          <w:szCs w:val="30"/>
        </w:rPr>
        <w:t xml:space="preserve">Next steps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Confirm scope and priorities on a short alignment call.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Execute the services agreement and mutual NDA.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rFonts w:ascii="Calibri" w:cs="Calibri" w:eastAsia="Calibri" w:hAnsi="Calibri"/>
          <w:color w:val="14232F"/>
          <w:sz w:val="21"/>
          <w:szCs w:val="21"/>
        </w:rPr>
        <w:t xml:space="preserve">Schedule the kickoff and begin Phase 1 (Discover &amp; baseline).</w:t>
      </w:r>
    </w:p>
    <w:p>
      <w:pPr>
        <w:spacing w:after="120"/>
      </w:pPr>
    </w:p>
    <w:p>
      <w:pPr>
        <w:spacing w:after="140" w:line="276"/>
      </w:pPr>
      <w:r>
        <w:rPr>
          <w:rFonts w:ascii="Calibri" w:cs="Calibri" w:eastAsia="Calibri" w:hAnsi="Calibri"/>
          <w:color w:val="4A5B6B"/>
          <w:sz w:val="21"/>
          <w:szCs w:val="21"/>
        </w:rPr>
        <w:t xml:space="preserve">To proceed or discuss adjustments, contact: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4232F"/>
          <w:sz w:val="21"/>
          <w:szCs w:val="21"/>
        </w:rPr>
        <w:t xml:space="preserve">Dr. Velaphi Thipe — Founder &amp; Principal Consultant</w:t>
      </w:r>
      <w:r>
        <w:rPr>
          <w:rFonts w:ascii="Calibri" w:cs="Calibri" w:eastAsia="Calibri" w:hAnsi="Calibri"/>
          <w:color w:val="14232F"/>
          <w:sz w:val="21"/>
          <w:szCs w:val="21"/>
        </w:rPr>
        <w:t xml:space="preserve">  ·  info@clementissc.com  ·  clementissc.com</w:t>
      </w:r>
    </w:p>
    <w:p>
      <w:pPr>
        <w:spacing w:after="200"/>
      </w:pPr>
    </w:p>
    <w:p>
      <w:pPr>
        <w:pBdr>
          <w:bottom w:val="single" w:color="DCE3EA" w:sz="6" w:space="2"/>
        </w:pBdr>
        <w:spacing w:after="120" w:before="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pBdr>
                <w:top w:val="single" w:color="14232F" w:sz="6" w:space="4"/>
              </w:pBdr>
              <w:spacing w:after="20" w:before="240"/>
            </w:pPr>
            <w:r>
              <w:rPr>
                <w:rFonts w:ascii="Calibri" w:cs="Calibri" w:eastAsia="Calibri" w:hAnsi="Calibri"/>
                <w:color w:val="4A5B6B"/>
                <w:sz w:val="18"/>
                <w:szCs w:val="18"/>
              </w:rPr>
              <w:t xml:space="preserve">Accepted for [Client]</w:t>
            </w:r>
          </w:p>
          <w:p>
            <w:r>
              <w:rPr>
                <w:rFonts w:ascii="Consolas" w:cs="Consolas" w:eastAsia="Consolas" w:hAnsi="Consolas"/>
                <w:color w:val="7A8A98"/>
                <w:sz w:val="15"/>
                <w:szCs w:val="15"/>
              </w:rPr>
              <w:t xml:space="preserve">Name / title</w:t>
            </w:r>
          </w:p>
          <w:p>
            <w:pPr>
              <w:spacing w:after="160"/>
            </w:pPr>
          </w:p>
          <w:p>
            <w:pPr>
              <w:pBdr>
                <w:top w:val="single" w:color="14232F" w:sz="6" w:space="4"/>
              </w:pBdr>
              <w:spacing w:after="20" w:before="240"/>
            </w:pPr>
            <w:r>
              <w:rPr>
                <w:rFonts w:ascii="Calibri" w:cs="Calibri" w:eastAsia="Calibri" w:hAnsi="Calibri"/>
                <w:color w:val="4A5B6B"/>
                <w:sz w:val="18"/>
                <w:szCs w:val="18"/>
              </w:rPr>
              <w:t xml:space="preserve">Signature &amp; date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pBdr>
                <w:top w:val="single" w:color="14232F" w:sz="6" w:space="4"/>
              </w:pBdr>
              <w:spacing w:after="20" w:before="240"/>
            </w:pPr>
            <w:r>
              <w:rPr>
                <w:rFonts w:ascii="Calibri" w:cs="Calibri" w:eastAsia="Calibri" w:hAnsi="Calibri"/>
                <w:color w:val="4A5B6B"/>
                <w:sz w:val="18"/>
                <w:szCs w:val="18"/>
              </w:rPr>
              <w:t xml:space="preserve">For Clementis Scientific Consulting, LLC</w:t>
            </w:r>
          </w:p>
          <w:p>
            <w:r>
              <w:rPr>
                <w:rFonts w:ascii="Consolas" w:cs="Consolas" w:eastAsia="Consolas" w:hAnsi="Consolas"/>
                <w:color w:val="7A8A98"/>
                <w:sz w:val="15"/>
                <w:szCs w:val="15"/>
              </w:rPr>
              <w:t xml:space="preserve">Dr. Velaphi Thipe, Founder</w:t>
            </w:r>
          </w:p>
          <w:p>
            <w:pPr>
              <w:spacing w:after="160"/>
            </w:pPr>
          </w:p>
          <w:p>
            <w:pPr>
              <w:pBdr>
                <w:top w:val="single" w:color="14232F" w:sz="6" w:space="4"/>
              </w:pBdr>
              <w:spacing w:after="20" w:before="240"/>
            </w:pPr>
            <w:r>
              <w:rPr>
                <w:rFonts w:ascii="Calibri" w:cs="Calibri" w:eastAsia="Calibri" w:hAnsi="Calibri"/>
                <w:color w:val="4A5B6B"/>
                <w:sz w:val="18"/>
                <w:szCs w:val="18"/>
              </w:rPr>
              <w:t xml:space="preserve">Signature &amp; date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C6A15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3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Proposal Template</dc:title>
  <dc:creator>Clementis Scientific Consulting, LLC</dc:creator>
  <dc:description>Editable proposal template</dc:description>
  <cp:lastModifiedBy>Un-named</cp:lastModifiedBy>
  <cp:revision>1</cp:revision>
  <dcterms:created xsi:type="dcterms:W3CDTF">2026-07-07T03:05:14.292Z</dcterms:created>
  <dcterms:modified xsi:type="dcterms:W3CDTF">2026-07-07T03:05:14.307Z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